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7B7E63" w:rsidP="007B7E63">
      <w:pPr>
        <w:widowControl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BE2700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BE2700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BE270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BE270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51435" w:rsidRDefault="00BE270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401F0" w:rsidRPr="001A63B2" w:rsidRDefault="00BE2700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475243">
        <w:rPr>
          <w:sz w:val="26"/>
          <w:szCs w:val="26"/>
        </w:rPr>
        <w:t>при подаче заявленияна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2"/>
      </w:r>
      <w:r w:rsidR="00624F56">
        <w:rPr>
          <w:sz w:val="26"/>
          <w:szCs w:val="26"/>
        </w:rPr>
        <w:t>;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 xml:space="preserve">,при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4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обучающиесяпо адаптированнымосновным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>
        <w:rPr>
          <w:sz w:val="26"/>
          <w:szCs w:val="26"/>
        </w:rPr>
        <w:t>лиц</w:t>
      </w:r>
      <w:r w:rsidR="00B11A89" w:rsidRPr="001A63B2">
        <w:rPr>
          <w:sz w:val="26"/>
          <w:szCs w:val="26"/>
        </w:rPr>
        <w:t>с 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81CE7" w:rsidRPr="001A63B2">
        <w:rPr>
          <w:sz w:val="26"/>
          <w:szCs w:val="26"/>
        </w:rPr>
        <w:t>на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.Для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на дому,в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>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9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компьютерабез выхода 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</w:t>
      </w:r>
      <w:r w:rsidRPr="001A63B2">
        <w:rPr>
          <w:sz w:val="26"/>
          <w:szCs w:val="26"/>
        </w:rPr>
        <w:lastRenderedPageBreak/>
        <w:t xml:space="preserve">приглашает комиссию тифлопереводчиков  для работы по переводу. Тифлопереводчики работаютв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0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1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</w:t>
      </w:r>
      <w:r w:rsidR="00912149" w:rsidRPr="001A63B2">
        <w:rPr>
          <w:rFonts w:ascii="Times New Roman" w:hAnsi="Times New Roman"/>
          <w:bCs/>
          <w:sz w:val="26"/>
          <w:szCs w:val="26"/>
        </w:rPr>
        <w:lastRenderedPageBreak/>
        <w:t xml:space="preserve">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19"/>
      <w:bookmarkEnd w:id="20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>воей работе тифлопереводчиков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), сурдопереводчиков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2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амяткой </w:t>
      </w:r>
      <w:r w:rsidRPr="001A63B2">
        <w:rPr>
          <w:sz w:val="26"/>
          <w:szCs w:val="26"/>
        </w:rPr>
        <w:lastRenderedPageBreak/>
        <w:t>кодировками</w:t>
      </w:r>
      <w:r w:rsidR="00B11A89" w:rsidRPr="001A63B2">
        <w:rPr>
          <w:sz w:val="26"/>
          <w:szCs w:val="26"/>
        </w:rPr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>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>и ф</w:t>
      </w:r>
      <w:r w:rsidRPr="001A63B2">
        <w:rPr>
          <w:sz w:val="26"/>
          <w:szCs w:val="26"/>
        </w:rPr>
        <w:t xml:space="preserve">иксирует </w:t>
      </w:r>
      <w:r w:rsidRPr="001A63B2">
        <w:rPr>
          <w:sz w:val="26"/>
          <w:szCs w:val="26"/>
        </w:rPr>
        <w:lastRenderedPageBreak/>
        <w:t>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тифлопереводчиков  для работы по переводу. Тифлопереводчики работаютв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 xml:space="preserve">и увеличенные) и черновики. КИМ (стандартного размера и увеличенные)и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9"/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>которой организован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 xml:space="preserve">оказывает помощь в передвижении и расположении участника экзамена нарабочем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 xml:space="preserve">.Шрифт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</w:t>
            </w:r>
            <w:r w:rsidRPr="001A63B2">
              <w:rPr>
                <w:sz w:val="22"/>
                <w:szCs w:val="22"/>
              </w:rPr>
              <w:lastRenderedPageBreak/>
              <w:t xml:space="preserve">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87" w:rsidRDefault="00763B87" w:rsidP="00E26F70">
      <w:r>
        <w:separator/>
      </w:r>
    </w:p>
  </w:endnote>
  <w:endnote w:type="continuationSeparator" w:id="1">
    <w:p w:rsidR="00763B87" w:rsidRDefault="00763B87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ED13C1" w:rsidRDefault="00BE2700">
        <w:pPr>
          <w:pStyle w:val="af7"/>
          <w:jc w:val="right"/>
        </w:pPr>
        <w:r>
          <w:fldChar w:fldCharType="begin"/>
        </w:r>
        <w:r w:rsidR="00ED13C1">
          <w:instrText>PAGE   \* MERGEFORMAT</w:instrText>
        </w:r>
        <w:r>
          <w:fldChar w:fldCharType="separate"/>
        </w:r>
        <w:r w:rsidR="005C2724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87" w:rsidRDefault="00763B87" w:rsidP="00E26F70">
      <w:r>
        <w:separator/>
      </w:r>
    </w:p>
  </w:footnote>
  <w:footnote w:type="continuationSeparator" w:id="1">
    <w:p w:rsidR="00763B87" w:rsidRDefault="00763B87" w:rsidP="00E26F70">
      <w:r>
        <w:continuationSeparator/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3">
    <w:p w:rsidR="00ED13C1" w:rsidRDefault="00ED13C1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4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5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7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8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2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C2724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63B87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E2700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BCEB-0F08-4CF5-A5D6-90AF6C0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9840</Words>
  <Characters>56094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Семья</cp:lastModifiedBy>
  <cp:revision>2</cp:revision>
  <cp:lastPrinted>2017-12-27T13:58:00Z</cp:lastPrinted>
  <dcterms:created xsi:type="dcterms:W3CDTF">2019-01-24T19:21:00Z</dcterms:created>
  <dcterms:modified xsi:type="dcterms:W3CDTF">2019-01-24T19:21:00Z</dcterms:modified>
</cp:coreProperties>
</file>